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7" w:rsidRDefault="00363A85" w:rsidP="00F66327">
      <w:pPr>
        <w:spacing w:after="0"/>
        <w:rPr>
          <w:noProof/>
          <w:color w:val="000000" w:themeColor="text1"/>
          <w:lang w:eastAsia="fr-FR"/>
        </w:rPr>
      </w:pPr>
      <w:bookmarkStart w:id="0" w:name="_GoBack"/>
      <w:r>
        <w:rPr>
          <w:b/>
          <w:bCs/>
          <w:noProof/>
          <w:color w:val="000000"/>
          <w:sz w:val="20"/>
          <w:szCs w:val="20"/>
          <w:lang w:eastAsia="fr-FR"/>
        </w:rPr>
        <w:drawing>
          <wp:anchor distT="0" distB="0" distL="114300" distR="114300" simplePos="0" relativeHeight="251662336" behindDoc="0" locked="0" layoutInCell="1" allowOverlap="1" wp14:anchorId="236055B9" wp14:editId="41C56BCE">
            <wp:simplePos x="0" y="0"/>
            <wp:positionH relativeFrom="column">
              <wp:posOffset>2057400</wp:posOffset>
            </wp:positionH>
            <wp:positionV relativeFrom="paragraph">
              <wp:posOffset>0</wp:posOffset>
            </wp:positionV>
            <wp:extent cx="3740150" cy="21043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714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0150" cy="2104390"/>
                    </a:xfrm>
                    <a:prstGeom prst="rect">
                      <a:avLst/>
                    </a:prstGeom>
                  </pic:spPr>
                </pic:pic>
              </a:graphicData>
            </a:graphic>
            <wp14:sizeRelH relativeFrom="page">
              <wp14:pctWidth>0</wp14:pctWidth>
            </wp14:sizeRelH>
            <wp14:sizeRelV relativeFrom="page">
              <wp14:pctHeight>0</wp14:pctHeight>
            </wp14:sizeRelV>
          </wp:anchor>
        </w:drawing>
      </w:r>
      <w:r w:rsidR="00F66327">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rsidR="00F66327">
        <w:tab/>
        <w:t xml:space="preserve">              </w:t>
      </w:r>
      <w:r w:rsidR="00F66327">
        <w:rPr>
          <w:color w:val="000000" w:themeColor="text1"/>
        </w:rPr>
        <w:t xml:space="preserve">  </w:t>
      </w:r>
    </w:p>
    <w:p w:rsidR="00F66327" w:rsidRDefault="00F66327" w:rsidP="00F66327">
      <w:pPr>
        <w:spacing w:after="0"/>
        <w:rPr>
          <w:noProof/>
          <w:color w:val="000000" w:themeColor="text1"/>
          <w:lang w:eastAsia="fr-FR"/>
        </w:rPr>
      </w:pPr>
    </w:p>
    <w:p w:rsidR="00F66327" w:rsidRDefault="00F66327" w:rsidP="00F66327">
      <w:pPr>
        <w:spacing w:after="0"/>
        <w:rPr>
          <w:noProof/>
          <w:color w:val="000000" w:themeColor="text1"/>
          <w:lang w:eastAsia="fr-FR"/>
        </w:rPr>
      </w:pPr>
    </w:p>
    <w:p w:rsidR="00F66327" w:rsidRDefault="00F66327" w:rsidP="00F66327">
      <w:pPr>
        <w:spacing w:after="0"/>
        <w:rPr>
          <w:color w:val="000000" w:themeColor="text1"/>
        </w:rPr>
      </w:pPr>
    </w:p>
    <w:p w:rsidR="00F66327" w:rsidRDefault="00F66327" w:rsidP="00F66327">
      <w:pPr>
        <w:jc w:val="both"/>
      </w:pPr>
    </w:p>
    <w:p w:rsidR="00363A85" w:rsidRDefault="00363A85" w:rsidP="00F66327">
      <w:pPr>
        <w:jc w:val="right"/>
        <w:rPr>
          <w:sz w:val="24"/>
          <w:szCs w:val="24"/>
        </w:rPr>
      </w:pPr>
    </w:p>
    <w:p w:rsidR="00363A85" w:rsidRDefault="00363A85" w:rsidP="00F66327">
      <w:pPr>
        <w:jc w:val="right"/>
        <w:rPr>
          <w:sz w:val="24"/>
          <w:szCs w:val="24"/>
        </w:rPr>
      </w:pPr>
    </w:p>
    <w:p w:rsidR="00F66327" w:rsidRDefault="00F66327" w:rsidP="00F66327">
      <w:pPr>
        <w:jc w:val="right"/>
        <w:rPr>
          <w:sz w:val="24"/>
          <w:szCs w:val="24"/>
        </w:rPr>
      </w:pPr>
      <w:r>
        <w:rPr>
          <w:sz w:val="24"/>
          <w:szCs w:val="24"/>
        </w:rPr>
        <w:t xml:space="preserve">La Petite-Pierre, le </w:t>
      </w:r>
      <w:r w:rsidR="00363A85">
        <w:rPr>
          <w:sz w:val="24"/>
          <w:szCs w:val="24"/>
        </w:rPr>
        <w:t>10 mai 2017</w:t>
      </w:r>
    </w:p>
    <w:p w:rsidR="00363A85" w:rsidRDefault="00363A85" w:rsidP="00F66327">
      <w:pPr>
        <w:spacing w:after="0"/>
        <w:jc w:val="center"/>
        <w:rPr>
          <w:b/>
          <w:sz w:val="24"/>
          <w:szCs w:val="20"/>
        </w:rPr>
      </w:pPr>
    </w:p>
    <w:p w:rsidR="00F66327" w:rsidRDefault="00F66327" w:rsidP="00F66327">
      <w:pPr>
        <w:spacing w:after="0"/>
        <w:jc w:val="center"/>
        <w:rPr>
          <w:b/>
          <w:sz w:val="24"/>
          <w:szCs w:val="20"/>
        </w:rPr>
      </w:pPr>
      <w:r>
        <w:rPr>
          <w:b/>
          <w:sz w:val="24"/>
          <w:szCs w:val="20"/>
        </w:rPr>
        <w:t>COMMUNIQUE DE PRESSE</w:t>
      </w:r>
    </w:p>
    <w:p w:rsidR="00363A85" w:rsidRDefault="00363A85" w:rsidP="00F66327">
      <w:pPr>
        <w:spacing w:after="0"/>
        <w:jc w:val="center"/>
        <w:rPr>
          <w:b/>
          <w:sz w:val="24"/>
          <w:szCs w:val="20"/>
        </w:rPr>
      </w:pPr>
    </w:p>
    <w:p w:rsidR="00F66327" w:rsidRDefault="00F66327" w:rsidP="00F66327">
      <w:pPr>
        <w:jc w:val="center"/>
        <w:rPr>
          <w:rFonts w:eastAsia="Times New Roman"/>
        </w:rPr>
      </w:pPr>
      <w:bookmarkStart w:id="1" w:name="m_3015380566295729715_Anne_EICH"/>
      <w:r>
        <w:rPr>
          <w:b/>
          <w:color w:val="7B7B7B" w:themeColor="accent3" w:themeShade="BF"/>
          <w:sz w:val="44"/>
          <w:szCs w:val="44"/>
        </w:rPr>
        <w:t>Grand Rallye nature dans les forêts du Pays de Bitche</w:t>
      </w:r>
      <w:r>
        <w:rPr>
          <w:b/>
          <w:color w:val="7B7B7B" w:themeColor="accent3" w:themeShade="BF"/>
          <w:sz w:val="44"/>
          <w:szCs w:val="44"/>
        </w:rPr>
        <w:br/>
      </w:r>
      <w:bookmarkEnd w:id="1"/>
    </w:p>
    <w:p w:rsidR="000849CF" w:rsidRDefault="00F66327" w:rsidP="00930D17">
      <w:pPr>
        <w:jc w:val="both"/>
        <w:rPr>
          <w:b/>
          <w:bCs/>
          <w:color w:val="000000"/>
          <w:sz w:val="20"/>
          <w:szCs w:val="20"/>
        </w:rPr>
      </w:pPr>
      <w:r w:rsidRPr="00F66327">
        <w:rPr>
          <w:b/>
          <w:bCs/>
          <w:color w:val="000000"/>
          <w:sz w:val="20"/>
          <w:szCs w:val="20"/>
        </w:rPr>
        <w:t>Le Parc, l’Office national des Forêts et leurs partenaires organisent un grand rallye nature à l’occasion des 25 ans des programmes </w:t>
      </w:r>
      <w:proofErr w:type="spellStart"/>
      <w:r w:rsidRPr="00F66327">
        <w:rPr>
          <w:b/>
          <w:bCs/>
          <w:color w:val="000000"/>
          <w:sz w:val="20"/>
          <w:szCs w:val="20"/>
        </w:rPr>
        <w:t>Natura</w:t>
      </w:r>
      <w:proofErr w:type="spellEnd"/>
      <w:r w:rsidRPr="00F66327">
        <w:rPr>
          <w:b/>
          <w:bCs/>
          <w:color w:val="000000"/>
          <w:sz w:val="20"/>
          <w:szCs w:val="20"/>
        </w:rPr>
        <w:t xml:space="preserve"> 2000 et LIFE.</w:t>
      </w:r>
      <w:r>
        <w:rPr>
          <w:b/>
          <w:bCs/>
          <w:color w:val="000000"/>
          <w:sz w:val="20"/>
          <w:szCs w:val="20"/>
        </w:rPr>
        <w:t xml:space="preserve"> </w:t>
      </w:r>
      <w:r w:rsidRPr="00F66327">
        <w:rPr>
          <w:b/>
          <w:bCs/>
          <w:color w:val="000000"/>
          <w:sz w:val="20"/>
          <w:szCs w:val="20"/>
        </w:rPr>
        <w:t>Cette manifestation aura lieu le dimanche 21 mai 2017 de 10h à 18h, départ du parking de l’étang de Hanau</w:t>
      </w:r>
      <w:r>
        <w:rPr>
          <w:b/>
          <w:bCs/>
          <w:color w:val="000000"/>
          <w:sz w:val="20"/>
          <w:szCs w:val="20"/>
        </w:rPr>
        <w:t xml:space="preserve">. </w:t>
      </w:r>
    </w:p>
    <w:p w:rsidR="00F66327" w:rsidRDefault="00F66327" w:rsidP="00F66327">
      <w:pPr>
        <w:rPr>
          <w:b/>
          <w:bCs/>
          <w:sz w:val="28"/>
          <w:szCs w:val="28"/>
        </w:rPr>
      </w:pPr>
      <w:r>
        <w:rPr>
          <w:b/>
          <w:bCs/>
          <w:sz w:val="28"/>
          <w:szCs w:val="28"/>
        </w:rPr>
        <w:t>Un Grand Rallye nature pour découvrir la faune et la flore qui nous entoure</w:t>
      </w:r>
      <w:r w:rsidR="0031239D">
        <w:rPr>
          <w:b/>
          <w:bCs/>
          <w:sz w:val="28"/>
          <w:szCs w:val="28"/>
        </w:rPr>
        <w:t> !</w:t>
      </w:r>
      <w:r>
        <w:rPr>
          <w:b/>
          <w:bCs/>
          <w:sz w:val="28"/>
          <w:szCs w:val="28"/>
        </w:rPr>
        <w:t xml:space="preserve"> </w:t>
      </w:r>
    </w:p>
    <w:p w:rsidR="00F66327" w:rsidRDefault="00D562EC" w:rsidP="00D562EC">
      <w:pPr>
        <w:spacing w:before="120"/>
        <w:jc w:val="both"/>
      </w:pPr>
      <w:r>
        <w:rPr>
          <w:noProof/>
          <w:lang w:eastAsia="fr-FR"/>
        </w:rPr>
        <w:drawing>
          <wp:anchor distT="0" distB="0" distL="114300" distR="114300" simplePos="0" relativeHeight="251659264" behindDoc="0" locked="0" layoutInCell="1" allowOverlap="1" wp14:anchorId="5FD4EECD" wp14:editId="06DA1BB9">
            <wp:simplePos x="0" y="0"/>
            <wp:positionH relativeFrom="column">
              <wp:posOffset>3274156</wp:posOffset>
            </wp:positionH>
            <wp:positionV relativeFrom="paragraph">
              <wp:posOffset>111093</wp:posOffset>
            </wp:positionV>
            <wp:extent cx="2413000" cy="1938020"/>
            <wp:effectExtent l="0" t="0" r="635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0" cy="1938020"/>
                    </a:xfrm>
                    <a:prstGeom prst="rect">
                      <a:avLst/>
                    </a:prstGeom>
                    <a:noFill/>
                  </pic:spPr>
                </pic:pic>
              </a:graphicData>
            </a:graphic>
            <wp14:sizeRelH relativeFrom="page">
              <wp14:pctWidth>0</wp14:pctWidth>
            </wp14:sizeRelH>
            <wp14:sizeRelV relativeFrom="page">
              <wp14:pctHeight>0</wp14:pctHeight>
            </wp14:sizeRelV>
          </wp:anchor>
        </w:drawing>
      </w:r>
      <w:r w:rsidR="00F66327">
        <w:t xml:space="preserve">Découvrez les richesses naturelles du Pays de Bitche, ses espèces et milieux d’intérêt européen, sa réserve naturelle mais également les actions menées pour la </w:t>
      </w:r>
      <w:proofErr w:type="gramStart"/>
      <w:r w:rsidR="00F66327">
        <w:t>préservation</w:t>
      </w:r>
      <w:proofErr w:type="gramEnd"/>
      <w:r w:rsidR="00F66327">
        <w:t xml:space="preserve"> </w:t>
      </w:r>
      <w:r w:rsidR="00BE07BF">
        <w:t>de notre</w:t>
      </w:r>
      <w:r w:rsidR="00F66327">
        <w:t xml:space="preserve"> biodiversité. Une magnifique balade à faire à pied, à vélo, en roller ou trottinette (plusieurs boucles possibles, de 4 à 10 </w:t>
      </w:r>
      <w:proofErr w:type="gramStart"/>
      <w:r w:rsidR="00F66327">
        <w:t>km)...</w:t>
      </w:r>
      <w:proofErr w:type="gramEnd"/>
      <w:r w:rsidR="00F66327">
        <w:t xml:space="preserve"> </w:t>
      </w:r>
      <w:r>
        <w:t xml:space="preserve">profitez-en en famille car, </w:t>
      </w:r>
      <w:r w:rsidR="00F66327">
        <w:t xml:space="preserve">pour cette occasion, </w:t>
      </w:r>
      <w:r>
        <w:t>les</w:t>
      </w:r>
      <w:r w:rsidR="00F66327">
        <w:t xml:space="preserve"> routes forestières seront </w:t>
      </w:r>
      <w:r w:rsidR="008857C6">
        <w:t xml:space="preserve">réservées pour l’occasion </w:t>
      </w:r>
      <w:r w:rsidR="00F66327">
        <w:t>! Les circuits seront ponctués d’animation</w:t>
      </w:r>
      <w:r w:rsidR="00BE07BF">
        <w:t>s</w:t>
      </w:r>
      <w:r w:rsidRPr="00D562EC">
        <w:t xml:space="preserve"> </w:t>
      </w:r>
      <w:r>
        <w:t>sur la faune et la flore</w:t>
      </w:r>
      <w:r w:rsidR="00F66327">
        <w:t xml:space="preserve">, </w:t>
      </w:r>
      <w:r>
        <w:t xml:space="preserve">de jeux et </w:t>
      </w:r>
      <w:r w:rsidR="00F66327">
        <w:t>d’atelier</w:t>
      </w:r>
      <w:r w:rsidR="00BE07BF">
        <w:t>s</w:t>
      </w:r>
      <w:r w:rsidR="00F66327">
        <w:t xml:space="preserve"> pédagogiques </w:t>
      </w:r>
      <w:r>
        <w:t>permettant la découverte des tourbières, de</w:t>
      </w:r>
      <w:r w:rsidR="00F66327">
        <w:t xml:space="preserve"> la gestion forestière</w:t>
      </w:r>
      <w:r>
        <w:t xml:space="preserve"> et des principes de restauration du fonctionnement d’une rivière. </w:t>
      </w:r>
      <w:r w:rsidR="00F66327">
        <w:t>L</w:t>
      </w:r>
      <w:r>
        <w:t>’objectif pour les participants au</w:t>
      </w:r>
      <w:r w:rsidR="00F66327">
        <w:t xml:space="preserve"> rallye sera de </w:t>
      </w:r>
      <w:r>
        <w:t>récupérer</w:t>
      </w:r>
      <w:r w:rsidR="00930D17">
        <w:t>,</w:t>
      </w:r>
      <w:r>
        <w:t xml:space="preserve"> au grés des différents ateliers</w:t>
      </w:r>
      <w:r w:rsidR="00930D17">
        <w:t>,</w:t>
      </w:r>
      <w:r>
        <w:t xml:space="preserve"> des cartes postales inédites présentant de splendides</w:t>
      </w:r>
      <w:r w:rsidR="00F66327">
        <w:t xml:space="preserve"> aquarelles </w:t>
      </w:r>
      <w:r w:rsidR="00930D17">
        <w:t xml:space="preserve">représentant </w:t>
      </w:r>
      <w:r w:rsidR="00F66327">
        <w:t>de</w:t>
      </w:r>
      <w:r>
        <w:t>s</w:t>
      </w:r>
      <w:r w:rsidR="00F66327">
        <w:t xml:space="preserve"> espèces</w:t>
      </w:r>
      <w:r>
        <w:t xml:space="preserve"> animales et végétales</w:t>
      </w:r>
      <w:r w:rsidR="00F66327">
        <w:t xml:space="preserve"> emblématiques du </w:t>
      </w:r>
      <w:r>
        <w:t>pays de Bitche.</w:t>
      </w:r>
      <w:r w:rsidR="00930D17">
        <w:t xml:space="preserve"> Rassemblez-les toutes en un minimum de temps et c’est gagné ! </w:t>
      </w:r>
    </w:p>
    <w:p w:rsidR="00F66327" w:rsidRDefault="00930D17" w:rsidP="00F66327">
      <w:r>
        <w:lastRenderedPageBreak/>
        <w:t>Les informations pratiques :</w:t>
      </w:r>
    </w:p>
    <w:p w:rsidR="00930D17" w:rsidRDefault="00930D17" w:rsidP="00930D17">
      <w:pPr>
        <w:spacing w:before="120"/>
      </w:pPr>
      <w:r>
        <w:rPr>
          <w:b/>
          <w:bCs/>
        </w:rPr>
        <w:t>Départ :</w:t>
      </w:r>
      <w:r>
        <w:t xml:space="preserve"> Parking étang Hanau, </w:t>
      </w:r>
      <w:proofErr w:type="spellStart"/>
      <w:r>
        <w:t>Phillipsbourg</w:t>
      </w:r>
      <w:proofErr w:type="spellEnd"/>
      <w:r>
        <w:t xml:space="preserve">. </w:t>
      </w:r>
    </w:p>
    <w:p w:rsidR="00930D17" w:rsidRPr="00930D17" w:rsidRDefault="00930D17" w:rsidP="00930D17">
      <w:pPr>
        <w:spacing w:before="120"/>
        <w:rPr>
          <w:b/>
          <w:bCs/>
        </w:rPr>
      </w:pPr>
      <w:r w:rsidRPr="00930D17">
        <w:rPr>
          <w:b/>
          <w:bCs/>
        </w:rPr>
        <w:t>Accès gratuit - Parcours accessibles aux personnes à mobilité réduite</w:t>
      </w:r>
    </w:p>
    <w:p w:rsidR="00930D17" w:rsidRDefault="00930D17" w:rsidP="00930D17">
      <w:pPr>
        <w:spacing w:before="120"/>
      </w:pPr>
      <w:r w:rsidRPr="00930D17">
        <w:rPr>
          <w:b/>
        </w:rPr>
        <w:t xml:space="preserve">Des animations </w:t>
      </w:r>
      <w:r>
        <w:t>proposées par des ornithologues, des forestiers, des naturalistes professionnels, des artistes et des animateurs spécialisés.</w:t>
      </w:r>
    </w:p>
    <w:p w:rsidR="00930D17" w:rsidRDefault="00930D17" w:rsidP="00930D17">
      <w:pPr>
        <w:spacing w:before="60"/>
      </w:pPr>
      <w:r w:rsidRPr="00930D17">
        <w:rPr>
          <w:b/>
        </w:rPr>
        <w:t>Buvette &amp; restauration</w:t>
      </w:r>
      <w:r>
        <w:t xml:space="preserve"> sur le parcours, avec des produits locaux</w:t>
      </w:r>
      <w:r w:rsidR="00FD6248">
        <w:t>. Repas 8€/adulte, 6€/enfant</w:t>
      </w:r>
    </w:p>
    <w:p w:rsidR="00930D17" w:rsidRDefault="00930D17" w:rsidP="00930D17">
      <w:pPr>
        <w:spacing w:before="60"/>
      </w:pPr>
      <w:r w:rsidRPr="00930D17">
        <w:rPr>
          <w:b/>
        </w:rPr>
        <w:t>Inscription recommandée :</w:t>
      </w:r>
      <w:r>
        <w:rPr>
          <w:rFonts w:ascii="Conduit ITC" w:hAnsi="Conduit ITC"/>
          <w:color w:val="31859C"/>
          <w:sz w:val="26"/>
          <w:szCs w:val="26"/>
        </w:rPr>
        <w:t xml:space="preserve"> </w:t>
      </w:r>
      <w:r>
        <w:t xml:space="preserve">03 88 01 49 59 ou </w:t>
      </w:r>
      <w:hyperlink r:id="rId7" w:history="1">
        <w:r>
          <w:rPr>
            <w:rStyle w:val="Lienhypertexte"/>
          </w:rPr>
          <w:t>inscriptions@parc-vosges-nord.fr</w:t>
        </w:r>
      </w:hyperlink>
      <w:r>
        <w:t xml:space="preserve"> </w:t>
      </w:r>
    </w:p>
    <w:p w:rsidR="00930D17" w:rsidRDefault="00930D17" w:rsidP="00930D17">
      <w:r w:rsidRPr="00930D17">
        <w:rPr>
          <w:b/>
        </w:rPr>
        <w:t>Essai de vélos à assistance électrique possible</w:t>
      </w:r>
      <w:r>
        <w:rPr>
          <w:rFonts w:ascii="Conduit ITC" w:hAnsi="Conduit ITC"/>
          <w:color w:val="31859C"/>
          <w:sz w:val="26"/>
          <w:szCs w:val="26"/>
        </w:rPr>
        <w:t xml:space="preserve"> </w:t>
      </w:r>
      <w:r w:rsidRPr="00930D17">
        <w:t>(nombre limité – Réservation indispensable avec une carte d’identité)</w:t>
      </w:r>
    </w:p>
    <w:p w:rsidR="00930D17" w:rsidRDefault="00930D17" w:rsidP="00930D17"/>
    <w:p w:rsidR="00930D17" w:rsidRDefault="00930D17" w:rsidP="00930D17">
      <w:pPr>
        <w:rPr>
          <w:b/>
          <w:bCs/>
          <w:sz w:val="28"/>
          <w:szCs w:val="28"/>
        </w:rPr>
      </w:pPr>
      <w:r>
        <w:rPr>
          <w:b/>
          <w:bCs/>
          <w:sz w:val="28"/>
          <w:szCs w:val="28"/>
        </w:rPr>
        <w:t>Stopper la perte de biodiversité</w:t>
      </w:r>
      <w:r w:rsidR="0031239D">
        <w:rPr>
          <w:b/>
          <w:bCs/>
          <w:sz w:val="28"/>
          <w:szCs w:val="28"/>
        </w:rPr>
        <w:t>…une ambition européenne depuis 25 ans.</w:t>
      </w:r>
    </w:p>
    <w:p w:rsidR="00930D17" w:rsidRDefault="00930D17" w:rsidP="00930D17">
      <w:pPr>
        <w:jc w:val="both"/>
      </w:pPr>
      <w:r>
        <w:t>La Terre est peuplée de millions d’espèces végétales et animales. Depuis deux siècles, la disparition d’espèces s’accélère. Elle ne concerne plus uniquement les milieux et espèces rares, mais également notre patrimoine naturel commun (passereaux des jardins et des prairies, poissons marins, abe</w:t>
      </w:r>
      <w:r w:rsidR="0031239D">
        <w:t>illes domestiques et sauvages…)</w:t>
      </w:r>
      <w:r>
        <w:t>. Ce phénomène s’explique essentiellement par l’évolution et l’intensification des activités humaines sans réelle prise en compte de l’environnement, qui mènent à la modification ou à la destruction des milieux de vie des animaux et des plantes. Cette disparition de biodiversité a été reconnue au niveau international lors du Sommet de la Terre, organisé à Rio en 1992.</w:t>
      </w:r>
    </w:p>
    <w:p w:rsidR="00930D17" w:rsidRDefault="00930D17" w:rsidP="00930D17">
      <w:pPr>
        <w:spacing w:before="120" w:after="60"/>
        <w:jc w:val="both"/>
      </w:pPr>
      <w:r>
        <w:t>C’est cette même année que l’Union européenne a marqué son engagement en faveur de la biodiversité, en adoptant le 21 mai 1992, la Directive Habitats Faune Flore. En conjonction avec la Directive Oiseaux, elle fonde les bases</w:t>
      </w:r>
      <w:r>
        <w:rPr>
          <w:b/>
          <w:bCs/>
        </w:rPr>
        <w:t xml:space="preserve"> du réseau </w:t>
      </w:r>
      <w:hyperlink r:id="rId8" w:history="1">
        <w:proofErr w:type="spellStart"/>
        <w:r>
          <w:rPr>
            <w:rStyle w:val="Lienhypertexte"/>
            <w:b/>
            <w:bCs/>
            <w:color w:val="auto"/>
            <w:u w:val="none"/>
          </w:rPr>
          <w:t>Natura</w:t>
        </w:r>
        <w:proofErr w:type="spellEnd"/>
        <w:r>
          <w:rPr>
            <w:rStyle w:val="Lienhypertexte"/>
            <w:b/>
            <w:bCs/>
            <w:color w:val="auto"/>
            <w:u w:val="none"/>
          </w:rPr>
          <w:t xml:space="preserve"> 2000</w:t>
        </w:r>
      </w:hyperlink>
      <w:r>
        <w:rPr>
          <w:b/>
          <w:bCs/>
        </w:rPr>
        <w:t xml:space="preserve"> dont l’ambition est de maintenir la diversité biologique à travers toute l’Europe</w:t>
      </w:r>
      <w:r>
        <w:t xml:space="preserve">. </w:t>
      </w:r>
    </w:p>
    <w:p w:rsidR="0031239D" w:rsidRDefault="0031239D" w:rsidP="00930D17">
      <w:pPr>
        <w:rPr>
          <w:b/>
          <w:bCs/>
          <w:sz w:val="28"/>
          <w:szCs w:val="28"/>
        </w:rPr>
      </w:pPr>
    </w:p>
    <w:p w:rsidR="00930D17" w:rsidRDefault="00930D17" w:rsidP="00930D17">
      <w:pPr>
        <w:rPr>
          <w:b/>
          <w:bCs/>
          <w:sz w:val="28"/>
          <w:szCs w:val="28"/>
        </w:rPr>
      </w:pPr>
      <w:proofErr w:type="spellStart"/>
      <w:r>
        <w:rPr>
          <w:b/>
          <w:bCs/>
          <w:sz w:val="28"/>
          <w:szCs w:val="28"/>
        </w:rPr>
        <w:t>Natura</w:t>
      </w:r>
      <w:proofErr w:type="spellEnd"/>
      <w:r>
        <w:rPr>
          <w:b/>
          <w:bCs/>
          <w:sz w:val="28"/>
          <w:szCs w:val="28"/>
        </w:rPr>
        <w:t xml:space="preserve"> 2000 » </w:t>
      </w:r>
      <w:r w:rsidR="0031239D">
        <w:rPr>
          <w:b/>
          <w:bCs/>
          <w:sz w:val="28"/>
          <w:szCs w:val="28"/>
        </w:rPr>
        <w:t>chez nous ?</w:t>
      </w:r>
    </w:p>
    <w:p w:rsidR="0082065B" w:rsidRDefault="0031239D" w:rsidP="0082065B">
      <w:pPr>
        <w:jc w:val="both"/>
      </w:pPr>
      <w:r>
        <w:t xml:space="preserve">Le réseau écologique européen </w:t>
      </w:r>
      <w:r w:rsidR="00930D17">
        <w:t>couvr</w:t>
      </w:r>
      <w:r>
        <w:t xml:space="preserve">e aujourd’hui </w:t>
      </w:r>
      <w:r w:rsidR="00930D17">
        <w:t>18% de l’U</w:t>
      </w:r>
      <w:r>
        <w:t>nion européenne et presque 13 % de la superficie de la France.</w:t>
      </w:r>
      <w:r w:rsidR="00BE76E1">
        <w:t xml:space="preserve"> Dans les Vosges du Nord, la qualité de certains milieux forestiers, des</w:t>
      </w:r>
      <w:r w:rsidR="00930D17">
        <w:t xml:space="preserve"> rivières, </w:t>
      </w:r>
      <w:r w:rsidR="0082065B">
        <w:t xml:space="preserve">des </w:t>
      </w:r>
      <w:r w:rsidR="00930D17">
        <w:t xml:space="preserve">prairies, </w:t>
      </w:r>
      <w:r w:rsidR="0082065B">
        <w:t xml:space="preserve">et des </w:t>
      </w:r>
      <w:r w:rsidR="00930D17">
        <w:t xml:space="preserve">rochers ruiniformes </w:t>
      </w:r>
      <w:r w:rsidR="0082065B">
        <w:t>ainsi que</w:t>
      </w:r>
      <w:r w:rsidR="00930D17">
        <w:t xml:space="preserve"> </w:t>
      </w:r>
      <w:r w:rsidR="0082065B">
        <w:t>l’abondance d’e</w:t>
      </w:r>
      <w:r w:rsidR="00930D17">
        <w:t xml:space="preserve">spèces </w:t>
      </w:r>
      <w:r w:rsidR="0082065B">
        <w:t xml:space="preserve">animales remarquables </w:t>
      </w:r>
      <w:r w:rsidR="00930D17">
        <w:t xml:space="preserve">comme le Faucon pèlerin, le Pic noir, l’Azuré de la Sanguisorbe, la </w:t>
      </w:r>
      <w:proofErr w:type="spellStart"/>
      <w:r w:rsidR="00930D17">
        <w:t>Barbastelle</w:t>
      </w:r>
      <w:proofErr w:type="spellEnd"/>
      <w:r w:rsidR="00930D17">
        <w:t xml:space="preserve"> ou encore le Grand Murin… sont à l’origine du classement de plusieurs sites </w:t>
      </w:r>
      <w:r w:rsidR="0082065B">
        <w:t xml:space="preserve">au sein du réseau </w:t>
      </w:r>
      <w:proofErr w:type="spellStart"/>
      <w:r w:rsidR="00930D17">
        <w:t>Natura</w:t>
      </w:r>
      <w:proofErr w:type="spellEnd"/>
      <w:r w:rsidR="00930D17">
        <w:t xml:space="preserve"> 2000. Ceux-ci représentent une surface de plus de 16 000 ha. </w:t>
      </w:r>
    </w:p>
    <w:p w:rsidR="00930D17" w:rsidRDefault="00930D17" w:rsidP="0082065B">
      <w:pPr>
        <w:jc w:val="both"/>
      </w:pPr>
      <w:r>
        <w:t>Au fil des années, le parc et ses partenaires démontrent qu’il est possible de concilier la préservation de l’environnement et les activit</w:t>
      </w:r>
      <w:r w:rsidR="0082065B">
        <w:t>és humaines. Les sites labélisés</w:t>
      </w:r>
      <w:r>
        <w:t xml:space="preserve"> </w:t>
      </w:r>
      <w:proofErr w:type="spellStart"/>
      <w:r>
        <w:t>Natura</w:t>
      </w:r>
      <w:proofErr w:type="spellEnd"/>
      <w:r>
        <w:t xml:space="preserve"> 2000 comme la zone de protection spéciale « Forêts, rochers et étangs du Pays de Bitche » ou la zone spéciale de conservation « La Haute Moder et ses affluents » font l’objet de multiples actions : des suivis scientifiques, des travaux de restauration écologique et des opérations de sensibilisation. Il y a quelques semaines, le parc présentait d’ailleurs en avant-première à </w:t>
      </w:r>
      <w:proofErr w:type="spellStart"/>
      <w:r>
        <w:t>Wingen</w:t>
      </w:r>
      <w:proofErr w:type="spellEnd"/>
      <w:r>
        <w:t xml:space="preserve"> sur Moder le film « De grès et d’eau, balade en </w:t>
      </w:r>
      <w:r w:rsidR="00363A85">
        <w:rPr>
          <w:noProof/>
          <w:lang w:eastAsia="fr-FR"/>
        </w:rPr>
        <w:lastRenderedPageBreak/>
        <w:drawing>
          <wp:anchor distT="0" distB="0" distL="114300" distR="114300" simplePos="0" relativeHeight="251663360" behindDoc="1" locked="0" layoutInCell="1" allowOverlap="1" wp14:anchorId="36E5BFC4" wp14:editId="26FA8C3C">
            <wp:simplePos x="0" y="0"/>
            <wp:positionH relativeFrom="column">
              <wp:posOffset>2641600</wp:posOffset>
            </wp:positionH>
            <wp:positionV relativeFrom="paragraph">
              <wp:posOffset>217</wp:posOffset>
            </wp:positionV>
            <wp:extent cx="3350895" cy="1888490"/>
            <wp:effectExtent l="0" t="0" r="1905" b="0"/>
            <wp:wrapTight wrapText="bothSides">
              <wp:wrapPolygon edited="0">
                <wp:start x="0" y="0"/>
                <wp:lineTo x="0" y="21353"/>
                <wp:lineTo x="21489" y="21353"/>
                <wp:lineTo x="2148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amot à feuilles de renoué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0895" cy="1888490"/>
                    </a:xfrm>
                    <a:prstGeom prst="rect">
                      <a:avLst/>
                    </a:prstGeom>
                  </pic:spPr>
                </pic:pic>
              </a:graphicData>
            </a:graphic>
            <wp14:sizeRelH relativeFrom="margin">
              <wp14:pctWidth>0</wp14:pctWidth>
            </wp14:sizeRelH>
            <wp14:sizeRelV relativeFrom="margin">
              <wp14:pctHeight>0</wp14:pctHeight>
            </wp14:sizeRelV>
          </wp:anchor>
        </w:drawing>
      </w:r>
      <w:r>
        <w:t xml:space="preserve">zone humide ». Un documentaire sensible à la découverte des sources et rivières sur grès, des marais et des tourbières </w:t>
      </w:r>
      <w:r w:rsidR="0082065B">
        <w:t>des Vosges du Nord</w:t>
      </w:r>
      <w:r>
        <w:t xml:space="preserve">… ces zones humides abritent une faune et une flore </w:t>
      </w:r>
      <w:r w:rsidR="0082065B">
        <w:t xml:space="preserve">riche </w:t>
      </w:r>
      <w:r>
        <w:t xml:space="preserve">que vous pourrez découvrir au travers de très belles images intégralement tourner dans la région. La bande annonce : </w:t>
      </w:r>
      <w:hyperlink r:id="rId10" w:history="1">
        <w:r>
          <w:rPr>
            <w:rStyle w:val="Lienhypertexte"/>
          </w:rPr>
          <w:t>https://youtu.be/01EVupVjhJk</w:t>
        </w:r>
      </w:hyperlink>
    </w:p>
    <w:p w:rsidR="00930D17" w:rsidRDefault="00930D17" w:rsidP="00930D17"/>
    <w:p w:rsidR="00930D17" w:rsidRDefault="00930D17" w:rsidP="00930D17">
      <w:pPr>
        <w:spacing w:before="120" w:after="60"/>
        <w:rPr>
          <w:b/>
          <w:bCs/>
          <w:sz w:val="28"/>
          <w:szCs w:val="28"/>
        </w:rPr>
      </w:pPr>
      <w:r>
        <w:rPr>
          <w:b/>
          <w:bCs/>
          <w:sz w:val="28"/>
          <w:szCs w:val="28"/>
        </w:rPr>
        <w:t>LIFE…un outil puissant pour la nature !</w:t>
      </w:r>
    </w:p>
    <w:p w:rsidR="00930D17" w:rsidRDefault="00930D17" w:rsidP="0082065B">
      <w:pPr>
        <w:spacing w:before="120" w:after="60"/>
        <w:jc w:val="both"/>
      </w:pPr>
      <w:r>
        <w:t xml:space="preserve">Egalement fondé par la Directive Habitats Faune Flore, l’Instrument Financier de l’Environnement soutient des projets consacrés à la protection de la nature, de l’environnement et au climat à travers toute l’Europe. </w:t>
      </w:r>
    </w:p>
    <w:p w:rsidR="00930D17" w:rsidRDefault="00930D17" w:rsidP="0082065B">
      <w:pPr>
        <w:spacing w:before="120" w:after="60"/>
        <w:jc w:val="both"/>
      </w:pPr>
      <w:r>
        <w:t xml:space="preserve">Depuis 2016, le Parc naturel régional des Vosges du Nord anime, en partenariat avec le </w:t>
      </w:r>
      <w:proofErr w:type="spellStart"/>
      <w:r>
        <w:t>Naturpark</w:t>
      </w:r>
      <w:proofErr w:type="spellEnd"/>
      <w:r>
        <w:t xml:space="preserve"> </w:t>
      </w:r>
      <w:proofErr w:type="spellStart"/>
      <w:r>
        <w:t>Pfälzerwald</w:t>
      </w:r>
      <w:proofErr w:type="spellEnd"/>
      <w:r>
        <w:t>, un programme de restauration des continuités écologiques ou corridors biologiques, dans les milieux agricoles (plantations de haies, d’arbres fruitiers haute-tige) et forestiers (création d’îlots de vieux bois…)</w:t>
      </w:r>
      <w:r w:rsidR="0082065B">
        <w:t xml:space="preserve"> </w:t>
      </w:r>
      <w:r w:rsidR="00D71B93">
        <w:t>ainsi que le long des</w:t>
      </w:r>
      <w:r>
        <w:t xml:space="preserve"> cours d’eau (aménagement ou effacement de barrages…). Ce programme contribue à </w:t>
      </w:r>
      <w:r w:rsidR="00D71B93">
        <w:t xml:space="preserve">faciliter la </w:t>
      </w:r>
      <w:r w:rsidR="0082065B">
        <w:t>circul</w:t>
      </w:r>
      <w:r w:rsidR="00D71B93">
        <w:t>ation des espèces animales et à</w:t>
      </w:r>
      <w:r w:rsidR="0082065B">
        <w:t xml:space="preserve"> </w:t>
      </w:r>
      <w:r w:rsidR="00D71B93">
        <w:t xml:space="preserve">améliorer le </w:t>
      </w:r>
      <w:r w:rsidR="0082065B">
        <w:t>paysage.</w:t>
      </w:r>
      <w:r>
        <w:t xml:space="preserve"> </w:t>
      </w:r>
    </w:p>
    <w:p w:rsidR="00930D17" w:rsidRDefault="00930D17" w:rsidP="00930D17"/>
    <w:p w:rsidR="00930D17" w:rsidRDefault="00586191" w:rsidP="00F66327">
      <w:r>
        <w:rPr>
          <w:rFonts w:ascii="Times New Roman" w:hAnsi="Times New Roman" w:cs="Times New Roman"/>
          <w:noProof/>
          <w:sz w:val="24"/>
          <w:szCs w:val="24"/>
          <w:lang w:eastAsia="fr-FR"/>
        </w:rPr>
        <w:drawing>
          <wp:anchor distT="0" distB="0" distL="114300" distR="114300" simplePos="0" relativeHeight="251661312" behindDoc="1" locked="0" layoutInCell="1" allowOverlap="1">
            <wp:simplePos x="0" y="0"/>
            <wp:positionH relativeFrom="column">
              <wp:posOffset>-111543</wp:posOffset>
            </wp:positionH>
            <wp:positionV relativeFrom="paragraph">
              <wp:posOffset>458470</wp:posOffset>
            </wp:positionV>
            <wp:extent cx="5954395" cy="829310"/>
            <wp:effectExtent l="0" t="0" r="8255" b="8890"/>
            <wp:wrapTight wrapText="bothSides">
              <wp:wrapPolygon edited="0">
                <wp:start x="0" y="0"/>
                <wp:lineTo x="0" y="21335"/>
                <wp:lineTo x="21561" y="21335"/>
                <wp:lineTo x="2156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4395" cy="829310"/>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93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duit IT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849CF"/>
    <w:rsid w:val="0031239D"/>
    <w:rsid w:val="00363A85"/>
    <w:rsid w:val="00586191"/>
    <w:rsid w:val="007C1E20"/>
    <w:rsid w:val="0082065B"/>
    <w:rsid w:val="008857C6"/>
    <w:rsid w:val="00930D17"/>
    <w:rsid w:val="00BE07BF"/>
    <w:rsid w:val="00BE76E1"/>
    <w:rsid w:val="00D562EC"/>
    <w:rsid w:val="00D71B93"/>
    <w:rsid w:val="00F66327"/>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0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sante/definitions/vie-natura-2000-233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scriptions@parc-vosges-nord.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gif"/><Relationship Id="rId5" Type="http://schemas.openxmlformats.org/officeDocument/2006/relationships/image" Target="media/image2.jpeg"/><Relationship Id="rId10" Type="http://schemas.openxmlformats.org/officeDocument/2006/relationships/hyperlink" Target="https://youtu.be/01EVupVjhJk"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2</cp:revision>
  <dcterms:created xsi:type="dcterms:W3CDTF">2017-05-10T14:46:00Z</dcterms:created>
  <dcterms:modified xsi:type="dcterms:W3CDTF">2017-05-10T14:46:00Z</dcterms:modified>
</cp:coreProperties>
</file>